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BA7F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  <w:b/>
          <w:bCs/>
          <w:sz w:val="26"/>
          <w:szCs w:val="26"/>
        </w:rPr>
      </w:pPr>
      <w:bookmarkStart w:id="0" w:name="_GoBack"/>
      <w:bookmarkEnd w:id="0"/>
      <w:r>
        <w:rPr>
          <w:rFonts w:ascii="Georgia" w:hAnsi="Georgia"/>
          <w:b/>
          <w:bCs/>
          <w:sz w:val="26"/>
          <w:szCs w:val="26"/>
        </w:rPr>
        <w:t>Progetto “Spiaggia Abile”</w:t>
      </w:r>
    </w:p>
    <w:p w14:paraId="729F7060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  <w:i/>
          <w:iCs/>
          <w:sz w:val="26"/>
          <w:szCs w:val="26"/>
        </w:rPr>
      </w:pPr>
      <w:r>
        <w:rPr>
          <w:rFonts w:ascii="Georgia" w:hAnsi="Georgia"/>
          <w:i/>
          <w:iCs/>
          <w:sz w:val="26"/>
          <w:szCs w:val="26"/>
        </w:rPr>
        <w:t>Al via la formazione sul turismo accessibile per operatori e amministratori del territorio molisano</w:t>
      </w:r>
    </w:p>
    <w:p w14:paraId="69A715B3" w14:textId="77777777" w:rsidR="00570602" w:rsidRDefault="00570602">
      <w:pPr>
        <w:pStyle w:val="CorpoA"/>
        <w:spacing w:before="200" w:line="264" w:lineRule="auto"/>
        <w:rPr>
          <w:rFonts w:ascii="Georgia" w:eastAsia="Georgia" w:hAnsi="Georgia" w:cs="Georgia"/>
          <w:sz w:val="24"/>
          <w:szCs w:val="24"/>
        </w:rPr>
      </w:pPr>
    </w:p>
    <w:p w14:paraId="49F85369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Spiaggia Abile è il progetto promosso dalla Regione Molise e dai Comuni di Montenero di Bisaccia, Petacciato, Termoli e Campomarino, con il sostegno finanziario della Presidenza del Consiglio dei Ministri, per migliorare concretamente l'accessibilità delle</w:t>
      </w:r>
      <w:r>
        <w:rPr>
          <w:rFonts w:ascii="Georgia" w:hAnsi="Georgia"/>
        </w:rPr>
        <w:t xml:space="preserve"> spiagge molisane e promuovere un turismo inclusivo lungo l'intera sua costa favorendo l’accoglienza e l’esperienza dei visitatori con bisogni speciali.</w:t>
      </w:r>
    </w:p>
    <w:p w14:paraId="56A4C5C0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Secondo uno studio Eurostat sono circa 130 milioni in Europa (un abitante su sei), le persone con disab</w:t>
      </w:r>
      <w:r>
        <w:rPr>
          <w:rFonts w:ascii="Georgia" w:hAnsi="Georgia"/>
        </w:rPr>
        <w:t xml:space="preserve">ilità motoria, sensoriale, cognitiva, le persone autistiche, obese, gli anziani, i genitori con passeggini e bambini piccoli, le donne in gravidanza, le persone con esigenze alimentari specifiche (per ragioni fisiologiche o culturali). E ben 50 milioni di </w:t>
      </w:r>
      <w:r>
        <w:rPr>
          <w:rFonts w:ascii="Georgia" w:hAnsi="Georgia"/>
        </w:rPr>
        <w:t>loro viaggiano per turismo in modo regolare, anche in bassa stagione, trattenendosi nei luoghi che garantiscono servizi accessibili, più a lungo degli altri turisti. Accogliere opportunamente queste persone ed offrire servizi adeguati ai loro bisogni senza</w:t>
      </w:r>
      <w:r>
        <w:rPr>
          <w:rFonts w:ascii="Georgia" w:hAnsi="Georgia"/>
        </w:rPr>
        <w:t xml:space="preserve"> farle sentire svantaggiate nella propria possibilità di visitare e godere di un luogo è quindi non solo un’opportuna operazione di promozione del territorio, è anche una scelta di crescita e di sviluppo per l’intera comunità ospitante. </w:t>
      </w:r>
    </w:p>
    <w:p w14:paraId="0A433217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Ma il turismo acce</w:t>
      </w:r>
      <w:r>
        <w:rPr>
          <w:rFonts w:ascii="Georgia" w:hAnsi="Georgia"/>
        </w:rPr>
        <w:t xml:space="preserve">ssibile è molto più che </w:t>
      </w:r>
      <w:r>
        <w:rPr>
          <w:rFonts w:ascii="Georgia" w:hAnsi="Georgia"/>
          <w:lang w:val="fr-FR"/>
        </w:rPr>
        <w:t>«</w:t>
      </w:r>
      <w:r>
        <w:rPr>
          <w:rFonts w:ascii="Georgia" w:hAnsi="Georgia"/>
        </w:rPr>
        <w:t>ristrutturare» il territorio. Non è solo alloggi o attrezzature, è anche e soprattutto accoglienza con risorse</w:t>
      </w:r>
      <w:r w:rsidRPr="00080E67">
        <w:rPr>
          <w:rFonts w:ascii="Georgia" w:hAnsi="Georgia"/>
        </w:rPr>
        <w:t xml:space="preserve"> format</w:t>
      </w:r>
      <w:r>
        <w:rPr>
          <w:rFonts w:ascii="Georgia" w:hAnsi="Georgia"/>
        </w:rPr>
        <w:t>e a mettere in campo approcci adeguati e a proporre esperienze che consentano a queste persone di vivere il territ</w:t>
      </w:r>
      <w:r>
        <w:rPr>
          <w:rFonts w:ascii="Georgia" w:hAnsi="Georgia"/>
        </w:rPr>
        <w:t>orio appieno e in autonomia. Serve cioè investire in formazione, perché non può esserci accoglienza senza conoscenza.</w:t>
      </w:r>
    </w:p>
    <w:p w14:paraId="4EE55FF1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Per questo, tra le attività di progetto, un posto importante spetta alla formazione di coloro che sono chiamati a dare, in prima persona, </w:t>
      </w:r>
      <w:r>
        <w:rPr>
          <w:rFonts w:ascii="Georgia" w:hAnsi="Georgia"/>
        </w:rPr>
        <w:t xml:space="preserve">le risposte ai bisogni speciali di questi futuri visitatori della nostra regione. Due le attività didattiche affidate agli esperti di </w:t>
      </w:r>
      <w:proofErr w:type="spellStart"/>
      <w:r>
        <w:rPr>
          <w:rFonts w:ascii="Georgia" w:hAnsi="Georgia"/>
        </w:rPr>
        <w:t>Village</w:t>
      </w:r>
      <w:proofErr w:type="spellEnd"/>
      <w:r>
        <w:rPr>
          <w:rFonts w:ascii="Georgia" w:hAnsi="Georgia"/>
        </w:rPr>
        <w:t xml:space="preserve"> for </w:t>
      </w:r>
      <w:proofErr w:type="spellStart"/>
      <w:r>
        <w:rPr>
          <w:rFonts w:ascii="Georgia" w:hAnsi="Georgia"/>
        </w:rPr>
        <w:t>All</w:t>
      </w:r>
      <w:proofErr w:type="spellEnd"/>
      <w:r>
        <w:rPr>
          <w:rFonts w:ascii="Georgia" w:hAnsi="Georgia"/>
        </w:rPr>
        <w:t>, specialisti a livello nazionale nell’innovazione dell’ospitalità accessibile:</w:t>
      </w:r>
    </w:p>
    <w:p w14:paraId="509E743F" w14:textId="77777777" w:rsidR="00570602" w:rsidRDefault="00A7452E">
      <w:pPr>
        <w:pStyle w:val="CorpoA"/>
        <w:numPr>
          <w:ilvl w:val="0"/>
          <w:numId w:val="2"/>
        </w:numPr>
        <w:spacing w:before="200" w:line="264" w:lineRule="auto"/>
        <w:rPr>
          <w:rFonts w:ascii="Georgia" w:hAnsi="Georgia"/>
        </w:rPr>
      </w:pPr>
      <w:r>
        <w:rPr>
          <w:rFonts w:ascii="Georgia" w:hAnsi="Georgia"/>
        </w:rPr>
        <w:t xml:space="preserve">un programma di formazione </w:t>
      </w:r>
      <w:r>
        <w:rPr>
          <w:rFonts w:ascii="Georgia" w:hAnsi="Georgia"/>
        </w:rPr>
        <w:t xml:space="preserve">per </w:t>
      </w:r>
      <w:r>
        <w:rPr>
          <w:rFonts w:ascii="Georgia" w:hAnsi="Georgia"/>
          <w:b/>
          <w:bCs/>
        </w:rPr>
        <w:t>Amministratori e Tecnici di riferimento degli Enti Locali</w:t>
      </w:r>
      <w:r>
        <w:rPr>
          <w:rFonts w:ascii="Georgia" w:hAnsi="Georgia"/>
        </w:rPr>
        <w:t>, della durata complessiva di 6 ore, strutturato in 4 appuntamenti pomeridiani dal 7 al 21 novembre 2024;</w:t>
      </w:r>
    </w:p>
    <w:p w14:paraId="69DE6A9A" w14:textId="77777777" w:rsidR="00570602" w:rsidRDefault="00A7452E">
      <w:pPr>
        <w:pStyle w:val="CorpoA"/>
        <w:numPr>
          <w:ilvl w:val="0"/>
          <w:numId w:val="2"/>
        </w:numPr>
        <w:spacing w:before="200" w:line="264" w:lineRule="auto"/>
        <w:rPr>
          <w:rFonts w:ascii="Georgia" w:hAnsi="Georgia"/>
        </w:rPr>
      </w:pPr>
      <w:r>
        <w:rPr>
          <w:rFonts w:ascii="Georgia" w:hAnsi="Georgia"/>
        </w:rPr>
        <w:t xml:space="preserve">un programma di formazione per </w:t>
      </w:r>
      <w:r>
        <w:rPr>
          <w:rFonts w:ascii="Georgia" w:hAnsi="Georgia"/>
          <w:b/>
          <w:bCs/>
        </w:rPr>
        <w:t>Operatori turistici</w:t>
      </w:r>
      <w:r>
        <w:rPr>
          <w:rFonts w:ascii="Georgia" w:hAnsi="Georgia"/>
        </w:rPr>
        <w:t xml:space="preserve"> (albergatori, ristoratori, guide turis</w:t>
      </w:r>
      <w:r>
        <w:rPr>
          <w:rFonts w:ascii="Georgia" w:hAnsi="Georgia"/>
        </w:rPr>
        <w:t>tiche, agenzie di viaggio, ecc.), della durata complessiva di 12 ore, strutturato in 6 appuntamenti pomeridiani dal 31 ottobre al 5 dicembre 2024.</w:t>
      </w:r>
    </w:p>
    <w:p w14:paraId="14AC8E5C" w14:textId="77777777" w:rsidR="00570602" w:rsidRDefault="00A7452E">
      <w:pPr>
        <w:pStyle w:val="CorpoA"/>
        <w:spacing w:before="200" w:line="264" w:lineRule="auto"/>
        <w:rPr>
          <w:rFonts w:ascii="Georgia" w:eastAsia="Georgia" w:hAnsi="Georgia" w:cs="Georgia"/>
        </w:rPr>
      </w:pPr>
      <w:r>
        <w:rPr>
          <w:rFonts w:ascii="Georgia" w:hAnsi="Georgia"/>
        </w:rPr>
        <w:t>Si tratta di</w:t>
      </w:r>
      <w:r>
        <w:rPr>
          <w:rFonts w:ascii="Georgia" w:hAnsi="Georgia"/>
          <w:lang w:val="fr-FR"/>
        </w:rPr>
        <w:t xml:space="preserve"> </w:t>
      </w:r>
      <w:proofErr w:type="spellStart"/>
      <w:r>
        <w:rPr>
          <w:rFonts w:ascii="Georgia" w:hAnsi="Georgia"/>
          <w:lang w:val="fr-FR"/>
        </w:rPr>
        <w:t>programm</w:t>
      </w:r>
      <w:proofErr w:type="spellEnd"/>
      <w:r>
        <w:rPr>
          <w:rFonts w:ascii="Georgia" w:hAnsi="Georgia"/>
        </w:rPr>
        <w:t>i mirati interamente gratuiti, la cui partecipazione è facilitata dalle modalità di erog</w:t>
      </w:r>
      <w:r>
        <w:rPr>
          <w:rFonts w:ascii="Georgia" w:hAnsi="Georgia"/>
        </w:rPr>
        <w:t>azione, in grado di fornire le conoscenze e le competenze necessarie per promuovere e supportare il turismo accessibile e inclusivo nelle strutture e nel territorio molisano, contribuendo alla crescita di una regione più accogliente e sostenibile per tutti</w:t>
      </w:r>
      <w:r>
        <w:rPr>
          <w:rFonts w:ascii="Georgia" w:hAnsi="Georgia"/>
        </w:rPr>
        <w:t>, in perfetta armonia con la naturale vocazione della sua gente.</w:t>
      </w:r>
    </w:p>
    <w:p w14:paraId="3ADE0EED" w14:textId="77777777" w:rsidR="00570602" w:rsidRPr="00080E67" w:rsidRDefault="00A7452E">
      <w:pPr>
        <w:pStyle w:val="CorpoA"/>
        <w:spacing w:before="200" w:line="264" w:lineRule="auto"/>
        <w:rPr>
          <w:rStyle w:val="Nessuno"/>
          <w:rFonts w:ascii="Georgia" w:eastAsia="Georgia" w:hAnsi="Georgia" w:cs="Georgia"/>
          <w:i/>
          <w:iCs/>
          <w:sz w:val="20"/>
          <w:szCs w:val="20"/>
        </w:rPr>
      </w:pPr>
      <w:r w:rsidRPr="00080E67">
        <w:rPr>
          <w:rFonts w:ascii="Georgia" w:hAnsi="Georgia"/>
          <w:i/>
          <w:iCs/>
          <w:sz w:val="20"/>
          <w:szCs w:val="20"/>
        </w:rPr>
        <w:t xml:space="preserve">Clicca </w:t>
      </w:r>
      <w:hyperlink r:id="rId7" w:history="1">
        <w:r w:rsidRPr="00080E67">
          <w:rPr>
            <w:rStyle w:val="Hyperlink0"/>
            <w:i/>
            <w:iCs/>
            <w:sz w:val="20"/>
            <w:szCs w:val="20"/>
            <w:lang w:val="fr-FR"/>
          </w:rPr>
          <w:t>qui</w:t>
        </w:r>
      </w:hyperlink>
      <w:r w:rsidRPr="00080E67">
        <w:rPr>
          <w:rStyle w:val="Nessuno"/>
          <w:rFonts w:ascii="Georgia" w:hAnsi="Georgia"/>
          <w:i/>
          <w:iCs/>
          <w:sz w:val="20"/>
          <w:szCs w:val="20"/>
        </w:rPr>
        <w:t xml:space="preserve"> per accedere al modulo di iscrizione e al programma formativo per Enti Locali.</w:t>
      </w:r>
    </w:p>
    <w:p w14:paraId="73EF7A14" w14:textId="77777777" w:rsidR="00570602" w:rsidRDefault="00A7452E">
      <w:pPr>
        <w:pStyle w:val="CorpoA"/>
        <w:spacing w:line="264" w:lineRule="auto"/>
      </w:pPr>
      <w:r w:rsidRPr="00080E67">
        <w:rPr>
          <w:rStyle w:val="Nessuno"/>
          <w:rFonts w:ascii="Georgia" w:hAnsi="Georgia"/>
          <w:i/>
          <w:iCs/>
          <w:sz w:val="20"/>
          <w:szCs w:val="20"/>
        </w:rPr>
        <w:t xml:space="preserve">Clicca </w:t>
      </w:r>
      <w:hyperlink r:id="rId8" w:history="1">
        <w:r w:rsidRPr="00080E67">
          <w:rPr>
            <w:rStyle w:val="Hyperlink0"/>
            <w:i/>
            <w:iCs/>
            <w:sz w:val="20"/>
            <w:szCs w:val="20"/>
            <w:lang w:val="fr-FR"/>
          </w:rPr>
          <w:t>qui</w:t>
        </w:r>
      </w:hyperlink>
      <w:r w:rsidRPr="00080E67">
        <w:rPr>
          <w:rStyle w:val="Nessuno"/>
          <w:rFonts w:ascii="Georgia" w:hAnsi="Georgia"/>
          <w:i/>
          <w:iCs/>
          <w:sz w:val="20"/>
          <w:szCs w:val="20"/>
        </w:rPr>
        <w:t xml:space="preserve"> per accedere al modulo di iscrizione e al program</w:t>
      </w:r>
      <w:r w:rsidRPr="00080E67">
        <w:rPr>
          <w:rStyle w:val="Nessuno"/>
          <w:rFonts w:ascii="Georgia" w:hAnsi="Georgia"/>
          <w:i/>
          <w:iCs/>
          <w:sz w:val="20"/>
          <w:szCs w:val="20"/>
        </w:rPr>
        <w:t>ma formativo per gli operatori.</w:t>
      </w:r>
    </w:p>
    <w:sectPr w:rsidR="0057060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C988" w14:textId="77777777" w:rsidR="00614E98" w:rsidRDefault="00614E98">
      <w:r>
        <w:separator/>
      </w:r>
    </w:p>
  </w:endnote>
  <w:endnote w:type="continuationSeparator" w:id="0">
    <w:p w14:paraId="4F2DEF4E" w14:textId="77777777" w:rsidR="00614E98" w:rsidRDefault="0061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9542" w14:textId="77777777" w:rsidR="00570602" w:rsidRDefault="0057060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DB14" w14:textId="77777777" w:rsidR="00614E98" w:rsidRDefault="00614E98">
      <w:r>
        <w:separator/>
      </w:r>
    </w:p>
  </w:footnote>
  <w:footnote w:type="continuationSeparator" w:id="0">
    <w:p w14:paraId="08EC72BB" w14:textId="77777777" w:rsidR="00614E98" w:rsidRDefault="0061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E4E0" w14:textId="77777777" w:rsidR="00570602" w:rsidRDefault="00A7452E">
    <w:pPr>
      <w:pStyle w:val="Intestazioneepidipagina"/>
      <w:tabs>
        <w:tab w:val="clear" w:pos="9020"/>
        <w:tab w:val="center" w:pos="4819"/>
        <w:tab w:val="right" w:pos="9612"/>
      </w:tabs>
    </w:pPr>
    <w:r>
      <w:tab/>
    </w:r>
    <w:r>
      <w:tab/>
    </w:r>
    <w:r>
      <w:rPr>
        <w:noProof/>
      </w:rPr>
      <mc:AlternateContent>
        <mc:Choice Requires="wpg">
          <w:drawing>
            <wp:inline distT="0" distB="0" distL="0" distR="0" wp14:anchorId="697DC8A4" wp14:editId="198725FB">
              <wp:extent cx="223962" cy="245907"/>
              <wp:effectExtent l="0" t="0" r="0" b="0"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62" cy="245907"/>
                        <a:chOff x="-1" y="-2"/>
                        <a:chExt cx="223961" cy="245906"/>
                      </a:xfrm>
                    </wpg:grpSpPr>
                    <wps:wsp>
                      <wps:cNvPr id="1073741825" name="Forma"/>
                      <wps:cNvSpPr/>
                      <wps:spPr>
                        <a:xfrm>
                          <a:off x="-2" y="82938"/>
                          <a:ext cx="145630" cy="1629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371" h="19028" extrusionOk="0">
                              <a:moveTo>
                                <a:pt x="18100" y="1679"/>
                              </a:moveTo>
                              <a:cubicBezTo>
                                <a:pt x="17427" y="-503"/>
                                <a:pt x="14030" y="-542"/>
                                <a:pt x="11666" y="1468"/>
                              </a:cubicBezTo>
                              <a:cubicBezTo>
                                <a:pt x="8849" y="3863"/>
                                <a:pt x="7918" y="6960"/>
                                <a:pt x="9961" y="9362"/>
                              </a:cubicBezTo>
                              <a:cubicBezTo>
                                <a:pt x="12156" y="11943"/>
                                <a:pt x="17532" y="11328"/>
                                <a:pt x="18100" y="14881"/>
                              </a:cubicBezTo>
                              <a:cubicBezTo>
                                <a:pt x="18874" y="19723"/>
                                <a:pt x="9595" y="21058"/>
                                <a:pt x="3837" y="14881"/>
                              </a:cubicBezTo>
                              <a:cubicBezTo>
                                <a:pt x="-1230" y="9444"/>
                                <a:pt x="-1328" y="2381"/>
                                <a:pt x="3837" y="1679"/>
                              </a:cubicBezTo>
                              <a:cubicBezTo>
                                <a:pt x="8822" y="1002"/>
                                <a:pt x="20272" y="8718"/>
                                <a:pt x="18100" y="1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85E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Forma"/>
                      <wps:cNvSpPr/>
                      <wps:spPr>
                        <a:xfrm rot="10800000">
                          <a:off x="78330" y="-3"/>
                          <a:ext cx="145630" cy="1629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8371" h="19028" extrusionOk="0">
                              <a:moveTo>
                                <a:pt x="18100" y="1679"/>
                              </a:moveTo>
                              <a:cubicBezTo>
                                <a:pt x="17427" y="-503"/>
                                <a:pt x="14030" y="-542"/>
                                <a:pt x="11666" y="1468"/>
                              </a:cubicBezTo>
                              <a:cubicBezTo>
                                <a:pt x="8849" y="3863"/>
                                <a:pt x="7918" y="6960"/>
                                <a:pt x="9961" y="9362"/>
                              </a:cubicBezTo>
                              <a:cubicBezTo>
                                <a:pt x="12156" y="11943"/>
                                <a:pt x="17532" y="11328"/>
                                <a:pt x="18100" y="14881"/>
                              </a:cubicBezTo>
                              <a:cubicBezTo>
                                <a:pt x="18874" y="19723"/>
                                <a:pt x="9595" y="21058"/>
                                <a:pt x="3837" y="14881"/>
                              </a:cubicBezTo>
                              <a:cubicBezTo>
                                <a:pt x="-1230" y="9444"/>
                                <a:pt x="-1328" y="2381"/>
                                <a:pt x="3837" y="1679"/>
                              </a:cubicBezTo>
                              <a:cubicBezTo>
                                <a:pt x="8822" y="1002"/>
                                <a:pt x="20272" y="8718"/>
                                <a:pt x="18100" y="16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style="visibility:visible;width:17.6pt;height:19.4pt;" coordorigin="-2,-3" coordsize="223962,245907">
              <v:shape id="_x0000_s1027" style="position:absolute;left:-2;top:82938;width:145629;height:162965;" coordorigin="1328,542" coordsize="18371,19028" path="M 19428,2221 C 18755,39 15358,0 12994,2010 C 10177,4405 9246,7502 11289,9904 C 13484,12485 18860,11870 19428,15423 C 20202,20265 10923,21600 5165,15423 C 98,9986 0,2923 5165,2221 C 10150,1544 21600,9260 19428,2221 X E">
                <v:fill color="#0085E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8" style="position:absolute;left:78331;top:-3;width:145629;height:162965;rotation:11796480fd;" coordorigin="1328,542" coordsize="18371,19028" path="M 19428,2221 C 18755,39 15358,0 12994,2010 C 10177,4405 9246,7502 11289,9904 C 13484,12485 18860,11870 19428,15423 C 20202,20265 10923,21600 5165,15423 C 98,9986 0,2923 5165,2221 C 10150,1544 21600,9260 19428,2221 X E">
                <v:fill color="#005493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DC"/>
    <w:multiLevelType w:val="hybridMultilevel"/>
    <w:tmpl w:val="879A8CDC"/>
    <w:numStyleLink w:val="Stileimportato1"/>
  </w:abstractNum>
  <w:abstractNum w:abstractNumId="1" w15:restartNumberingAfterBreak="0">
    <w:nsid w:val="68CA6C7D"/>
    <w:multiLevelType w:val="hybridMultilevel"/>
    <w:tmpl w:val="879A8CDC"/>
    <w:styleLink w:val="Stileimportato1"/>
    <w:lvl w:ilvl="0" w:tplc="5B66B62C">
      <w:start w:val="1"/>
      <w:numFmt w:val="bullet"/>
      <w:lvlText w:val="•"/>
      <w:lvlJc w:val="left"/>
      <w:pPr>
        <w:ind w:left="3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45BBE">
      <w:start w:val="1"/>
      <w:numFmt w:val="bullet"/>
      <w:lvlText w:val="•"/>
      <w:lvlJc w:val="left"/>
      <w:pPr>
        <w:ind w:left="10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EFB26">
      <w:start w:val="1"/>
      <w:numFmt w:val="bullet"/>
      <w:lvlText w:val="•"/>
      <w:lvlJc w:val="left"/>
      <w:pPr>
        <w:ind w:left="18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52196A">
      <w:start w:val="1"/>
      <w:numFmt w:val="bullet"/>
      <w:lvlText w:val="•"/>
      <w:lvlJc w:val="left"/>
      <w:pPr>
        <w:ind w:left="25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8740">
      <w:start w:val="1"/>
      <w:numFmt w:val="bullet"/>
      <w:lvlText w:val="•"/>
      <w:lvlJc w:val="left"/>
      <w:pPr>
        <w:ind w:left="324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C98B6">
      <w:start w:val="1"/>
      <w:numFmt w:val="bullet"/>
      <w:lvlText w:val="•"/>
      <w:lvlJc w:val="left"/>
      <w:pPr>
        <w:ind w:left="396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2DC20">
      <w:start w:val="1"/>
      <w:numFmt w:val="bullet"/>
      <w:lvlText w:val="•"/>
      <w:lvlJc w:val="left"/>
      <w:pPr>
        <w:ind w:left="468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0211A">
      <w:start w:val="1"/>
      <w:numFmt w:val="bullet"/>
      <w:lvlText w:val="•"/>
      <w:lvlJc w:val="left"/>
      <w:pPr>
        <w:ind w:left="540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C9722">
      <w:start w:val="1"/>
      <w:numFmt w:val="bullet"/>
      <w:lvlText w:val="•"/>
      <w:lvlJc w:val="left"/>
      <w:pPr>
        <w:ind w:left="6120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2"/>
    <w:rsid w:val="00080E67"/>
    <w:rsid w:val="00570602"/>
    <w:rsid w:val="00614E98"/>
    <w:rsid w:val="00A7452E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6B8"/>
  <w15:docId w15:val="{F58FFA60-A643-8046-BD83-33AE6CB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eorgia" w:eastAsia="Georgia" w:hAnsi="Georgia" w:cs="Georgia"/>
      <w:b/>
      <w:bCs/>
      <w:outline w:val="0"/>
      <w:color w:val="008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2-EjmCLGQVo3a_uOhDwWmtolSNT96EZn_zjPlrh6hcvb2T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Z1-IpdL8IKK8723Z9pfLwRAYlNZnACHGRB_Id9HybkLKoWw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Ramunno</dc:creator>
  <cp:lastModifiedBy>Roberta Ramunno</cp:lastModifiedBy>
  <cp:revision>2</cp:revision>
  <dcterms:created xsi:type="dcterms:W3CDTF">2024-10-16T08:51:00Z</dcterms:created>
  <dcterms:modified xsi:type="dcterms:W3CDTF">2024-10-16T08:51:00Z</dcterms:modified>
</cp:coreProperties>
</file>